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046A" w14:textId="38435FD1" w:rsidR="005E2081" w:rsidRPr="004D53A0" w:rsidRDefault="005E2081" w:rsidP="00F26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3A0">
        <w:rPr>
          <w:rFonts w:ascii="Times New Roman" w:hAnsi="Times New Roman" w:cs="Times New Roman"/>
          <w:sz w:val="24"/>
          <w:szCs w:val="24"/>
        </w:rPr>
        <w:t>BELEDİYELER YASASI</w:t>
      </w:r>
    </w:p>
    <w:p w14:paraId="1A91A46C" w14:textId="465D0500" w:rsidR="005E2081" w:rsidRPr="004D53A0" w:rsidRDefault="005E2081" w:rsidP="00F26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3A0">
        <w:rPr>
          <w:rFonts w:ascii="Times New Roman" w:hAnsi="Times New Roman" w:cs="Times New Roman"/>
          <w:sz w:val="24"/>
          <w:szCs w:val="24"/>
        </w:rPr>
        <w:t xml:space="preserve">(51/1995,33/2001,2/2003,9/2006,40/2007,14/2008,2/2009,91/2009,3/2013,33/2014,53/2015,21/2017, </w:t>
      </w:r>
      <w:r w:rsidR="009C20E5" w:rsidRPr="004D53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53A0">
        <w:rPr>
          <w:rFonts w:ascii="Times New Roman" w:hAnsi="Times New Roman" w:cs="Times New Roman"/>
          <w:sz w:val="24"/>
          <w:szCs w:val="24"/>
        </w:rPr>
        <w:t xml:space="preserve">3/2018 </w:t>
      </w:r>
      <w:r w:rsidR="00137B90">
        <w:rPr>
          <w:rFonts w:ascii="Times New Roman" w:hAnsi="Times New Roman" w:cs="Times New Roman"/>
          <w:sz w:val="24"/>
          <w:szCs w:val="24"/>
        </w:rPr>
        <w:t>,</w:t>
      </w:r>
      <w:r w:rsidRPr="004D53A0">
        <w:rPr>
          <w:rFonts w:ascii="Times New Roman" w:hAnsi="Times New Roman" w:cs="Times New Roman"/>
          <w:sz w:val="24"/>
          <w:szCs w:val="24"/>
        </w:rPr>
        <w:t xml:space="preserve">2/2023 </w:t>
      </w:r>
      <w:proofErr w:type="spellStart"/>
      <w:r w:rsidR="00137B9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37B90">
        <w:rPr>
          <w:rFonts w:ascii="Times New Roman" w:hAnsi="Times New Roman" w:cs="Times New Roman"/>
          <w:sz w:val="24"/>
          <w:szCs w:val="24"/>
        </w:rPr>
        <w:t xml:space="preserve"> 44/2023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Yasalar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>)</w:t>
      </w:r>
    </w:p>
    <w:p w14:paraId="0C905F8F" w14:textId="0C577F85" w:rsidR="00C84429" w:rsidRPr="004D53A0" w:rsidRDefault="005E2081" w:rsidP="00F26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3A0">
        <w:rPr>
          <w:rFonts w:ascii="Times New Roman" w:hAnsi="Times New Roman" w:cs="Times New Roman"/>
          <w:sz w:val="24"/>
          <w:szCs w:val="24"/>
        </w:rPr>
        <w:t xml:space="preserve">Madde 85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133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Tüzük</w:t>
      </w:r>
      <w:proofErr w:type="spellEnd"/>
    </w:p>
    <w:p w14:paraId="35D4F7AE" w14:textId="7B2AEA1C" w:rsidR="005E2081" w:rsidRPr="004D53A0" w:rsidRDefault="005E2081" w:rsidP="00F26C7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53A0">
        <w:rPr>
          <w:rFonts w:ascii="Times New Roman" w:hAnsi="Times New Roman" w:cs="Times New Roman"/>
          <w:sz w:val="24"/>
          <w:szCs w:val="24"/>
        </w:rPr>
        <w:t>Lefke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Belediye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Meclisi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, Belediyeler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Yasası’nın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85’inci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133’üncü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maddelerinin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kendisine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verdiği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yetkiy</w:t>
      </w:r>
      <w:r w:rsidR="009C20E5" w:rsidRPr="004D53A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69B" w:rsidRPr="004D53A0">
        <w:rPr>
          <w:rFonts w:ascii="Times New Roman" w:hAnsi="Times New Roman" w:cs="Times New Roman"/>
          <w:sz w:val="24"/>
          <w:szCs w:val="24"/>
        </w:rPr>
        <w:t>dayanarak</w:t>
      </w:r>
      <w:proofErr w:type="spellEnd"/>
      <w:r w:rsidR="00A1369B"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Bakanlık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Bakanlar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Kurulu’nun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onayı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Tüzüğü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3A0">
        <w:rPr>
          <w:rFonts w:ascii="Times New Roman" w:hAnsi="Times New Roman" w:cs="Times New Roman"/>
          <w:sz w:val="24"/>
          <w:szCs w:val="24"/>
        </w:rPr>
        <w:t>yapar</w:t>
      </w:r>
      <w:proofErr w:type="spellEnd"/>
      <w:r w:rsidRPr="004D53A0">
        <w:rPr>
          <w:rFonts w:ascii="Times New Roman" w:hAnsi="Times New Roman" w:cs="Times New Roman"/>
          <w:sz w:val="24"/>
          <w:szCs w:val="24"/>
        </w:rPr>
        <w:t>:</w:t>
      </w:r>
    </w:p>
    <w:p w14:paraId="299AB02E" w14:textId="77777777" w:rsidR="00501F1B" w:rsidRPr="004D53A0" w:rsidRDefault="00501F1B" w:rsidP="00F26C7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547"/>
        <w:gridCol w:w="709"/>
        <w:gridCol w:w="7796"/>
      </w:tblGrid>
      <w:tr w:rsidR="005E2081" w:rsidRPr="004D53A0" w14:paraId="5F724928" w14:textId="77777777" w:rsidTr="001B083E">
        <w:tc>
          <w:tcPr>
            <w:tcW w:w="1858" w:type="dxa"/>
          </w:tcPr>
          <w:p w14:paraId="0FC167C2" w14:textId="4F0D9A79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Kısa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İsim</w:t>
            </w:r>
            <w:proofErr w:type="spellEnd"/>
          </w:p>
        </w:tc>
        <w:tc>
          <w:tcPr>
            <w:tcW w:w="547" w:type="dxa"/>
          </w:tcPr>
          <w:p w14:paraId="09B63753" w14:textId="5C2D7080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2"/>
          </w:tcPr>
          <w:p w14:paraId="2E752752" w14:textId="1DC8DF2F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20E5" w:rsidRPr="004D53A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Lefke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Tüzüğü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isimlendirilir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2F8E74B8" w14:textId="77777777" w:rsidTr="001B083E">
        <w:tc>
          <w:tcPr>
            <w:tcW w:w="1858" w:type="dxa"/>
          </w:tcPr>
          <w:p w14:paraId="22CA6238" w14:textId="77777777" w:rsidR="00A1369B" w:rsidRPr="004D53A0" w:rsidRDefault="00A1369B" w:rsidP="00F26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dxa"/>
          </w:tcPr>
          <w:p w14:paraId="4926BE2F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6E5AE19F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81" w:rsidRPr="004D53A0" w14:paraId="505A28D7" w14:textId="77777777" w:rsidTr="001B083E">
        <w:tc>
          <w:tcPr>
            <w:tcW w:w="1858" w:type="dxa"/>
          </w:tcPr>
          <w:p w14:paraId="5931E809" w14:textId="265A55E4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Tefsir</w:t>
            </w:r>
            <w:proofErr w:type="spellEnd"/>
          </w:p>
        </w:tc>
        <w:tc>
          <w:tcPr>
            <w:tcW w:w="547" w:type="dxa"/>
          </w:tcPr>
          <w:p w14:paraId="6A9F7A6F" w14:textId="2AFFCB25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2"/>
          </w:tcPr>
          <w:p w14:paraId="796C26B0" w14:textId="77777777" w:rsidR="005E2081" w:rsidRPr="004D53A0" w:rsidRDefault="005E2081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Bu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Tüzükte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metin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başka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türlü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gerektirmedikçe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;</w:t>
            </w:r>
          </w:p>
          <w:p w14:paraId="797F5790" w14:textId="6A83568A" w:rsidR="00E05B9B" w:rsidRPr="00E05B9B" w:rsidRDefault="00E05B9B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0F4F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tr-TR"/>
                <w14:ligatures w14:val="none"/>
              </w:rPr>
              <w:t xml:space="preserve">“Aylık Asgari Ücret”, vergi, resim, harç ve ücretin belirlenmesi amaçları bakımından, </w:t>
            </w:r>
            <w:r w:rsidR="009F732D" w:rsidRPr="000F4F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tr-TR"/>
                <w14:ligatures w14:val="none"/>
              </w:rPr>
              <w:t>A</w:t>
            </w:r>
            <w:r w:rsidRPr="000F4F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tr-TR"/>
                <w14:ligatures w14:val="none"/>
              </w:rPr>
              <w:t>sgari Ücret Saptama Komisyonu</w:t>
            </w:r>
            <w:r w:rsidR="009F732D" w:rsidRPr="000F4F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tr-TR"/>
                <w14:ligatures w14:val="none"/>
              </w:rPr>
              <w:t xml:space="preserve"> </w:t>
            </w:r>
            <w:r w:rsidRPr="000F4F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tr-TR"/>
                <w14:ligatures w14:val="none"/>
              </w:rPr>
              <w:t>tarafından bulunulan mali yılda saptanan ilk aylık asgari ücreti,</w:t>
            </w:r>
          </w:p>
          <w:p w14:paraId="4DE2C6B1" w14:textId="1BB1DE4A" w:rsidR="005E2081" w:rsidRPr="004D53A0" w:rsidRDefault="005E2081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“Belediye”</w:t>
            </w:r>
            <w:r w:rsidR="00675589"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Lefke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Belediyesini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,</w:t>
            </w:r>
          </w:p>
          <w:p w14:paraId="0328D403" w14:textId="11A96C1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“Belediye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Meclisi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”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Lefke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Belediye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Meclisini</w:t>
            </w:r>
            <w:proofErr w:type="spellEnd"/>
            <w:r w:rsidR="002C1C76"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="002C1C76"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anlatır</w:t>
            </w:r>
            <w:proofErr w:type="spellEnd"/>
            <w:r w:rsidR="002C1C76"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.</w:t>
            </w:r>
          </w:p>
        </w:tc>
      </w:tr>
      <w:tr w:rsidR="00755E26" w:rsidRPr="004D53A0" w14:paraId="35F222F8" w14:textId="77777777" w:rsidTr="001B083E">
        <w:trPr>
          <w:trHeight w:val="279"/>
        </w:trPr>
        <w:tc>
          <w:tcPr>
            <w:tcW w:w="1858" w:type="dxa"/>
            <w:vMerge w:val="restart"/>
          </w:tcPr>
          <w:p w14:paraId="56277FA5" w14:textId="625FEB27" w:rsidR="00755E26" w:rsidRPr="004D53A0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Resminin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Kapsamı</w:t>
            </w:r>
            <w:proofErr w:type="spellEnd"/>
          </w:p>
        </w:tc>
        <w:tc>
          <w:tcPr>
            <w:tcW w:w="547" w:type="dxa"/>
            <w:vMerge w:val="restart"/>
          </w:tcPr>
          <w:p w14:paraId="4458B4AF" w14:textId="1D11C8DF" w:rsidR="00755E26" w:rsidRPr="004D53A0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</w:tcPr>
          <w:p w14:paraId="1A186BF4" w14:textId="2F5F7666" w:rsidR="00755E26" w:rsidRPr="004D53A0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Belediye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yerine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getirilen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aşağıdaki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hizmetler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Belediyeler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Yasasının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85’inci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maddesine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bağlı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Üçüncü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Cetvelde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yerlerden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oranlar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esas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alınarak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Belediye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Resmi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alınır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</w:p>
        </w:tc>
      </w:tr>
      <w:tr w:rsidR="00755E26" w:rsidRPr="004D53A0" w14:paraId="467034FB" w14:textId="77777777" w:rsidTr="001B083E">
        <w:trPr>
          <w:trHeight w:val="277"/>
        </w:trPr>
        <w:tc>
          <w:tcPr>
            <w:tcW w:w="1858" w:type="dxa"/>
            <w:vMerge/>
          </w:tcPr>
          <w:p w14:paraId="74CB220A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14:paraId="2FE5CB4D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D98D7" w14:textId="2C240CED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(1)</w:t>
            </w:r>
          </w:p>
        </w:tc>
        <w:tc>
          <w:tcPr>
            <w:tcW w:w="7796" w:type="dxa"/>
          </w:tcPr>
          <w:p w14:paraId="1DB51195" w14:textId="126DF6DE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Çevre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temizlik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hizmetleri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,</w:t>
            </w:r>
          </w:p>
        </w:tc>
      </w:tr>
      <w:tr w:rsidR="00755E26" w:rsidRPr="004D53A0" w14:paraId="511DD316" w14:textId="77777777" w:rsidTr="001B083E">
        <w:trPr>
          <w:trHeight w:val="277"/>
        </w:trPr>
        <w:tc>
          <w:tcPr>
            <w:tcW w:w="1858" w:type="dxa"/>
            <w:vMerge/>
          </w:tcPr>
          <w:p w14:paraId="59AD4F55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14:paraId="68C95B06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A97A" w14:textId="1284F36F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(2)</w:t>
            </w:r>
          </w:p>
        </w:tc>
        <w:tc>
          <w:tcPr>
            <w:tcW w:w="7796" w:type="dxa"/>
          </w:tcPr>
          <w:p w14:paraId="0FB5EBA5" w14:textId="5334C1F3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Halk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güvenliğiyle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yapılan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haşere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her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türlü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zararlı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mücadele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hizmetleri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,</w:t>
            </w:r>
          </w:p>
        </w:tc>
      </w:tr>
      <w:tr w:rsidR="00755E26" w:rsidRPr="004D53A0" w14:paraId="6FB22D5A" w14:textId="77777777" w:rsidTr="001B083E">
        <w:trPr>
          <w:trHeight w:val="278"/>
        </w:trPr>
        <w:tc>
          <w:tcPr>
            <w:tcW w:w="1858" w:type="dxa"/>
            <w:vMerge/>
          </w:tcPr>
          <w:p w14:paraId="0037CB0A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14:paraId="7774DC27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539392" w14:textId="1F7842D9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(3)</w:t>
            </w:r>
          </w:p>
        </w:tc>
        <w:tc>
          <w:tcPr>
            <w:tcW w:w="7796" w:type="dxa"/>
          </w:tcPr>
          <w:p w14:paraId="592EB3BD" w14:textId="336C2398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Meydan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anıt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cadde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sokakların,çocuk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oyun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alanlarının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saha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tesislerinin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,park 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bahçe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yeşil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alanların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piknik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seyir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gezinti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alanlaının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bakım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onarım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idame</w:t>
            </w:r>
            <w:r w:rsidR="00C259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leri</w:t>
            </w:r>
            <w:proofErr w:type="spellEnd"/>
            <w:r w:rsidR="00C259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="00C259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hizmetleri</w:t>
            </w:r>
            <w:proofErr w:type="spellEnd"/>
            <w:r w:rsidR="00C259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,</w:t>
            </w:r>
          </w:p>
        </w:tc>
      </w:tr>
      <w:tr w:rsidR="00755E26" w:rsidRPr="004D53A0" w14:paraId="386FA41E" w14:textId="77777777" w:rsidTr="001B083E">
        <w:trPr>
          <w:trHeight w:val="277"/>
        </w:trPr>
        <w:tc>
          <w:tcPr>
            <w:tcW w:w="1858" w:type="dxa"/>
            <w:vMerge/>
          </w:tcPr>
          <w:p w14:paraId="0D130B85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14:paraId="2EAD9F85" w14:textId="77777777" w:rsidR="00755E26" w:rsidRDefault="00755E2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CD7F9E" w14:textId="66504AEF" w:rsidR="00755E26" w:rsidRDefault="00755E26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(4)</w:t>
            </w:r>
          </w:p>
        </w:tc>
        <w:tc>
          <w:tcPr>
            <w:tcW w:w="7796" w:type="dxa"/>
          </w:tcPr>
          <w:p w14:paraId="47A5A31E" w14:textId="0DDA615B" w:rsidR="00755E26" w:rsidRDefault="00C2597D" w:rsidP="00F26C7F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Belediye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hudutları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içerisinde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karayollarına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ait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yollar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belediyeye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ait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meydan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cadde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sokakların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aydınlatma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alt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yapı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üst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yapı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hizmetlerin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.</w:t>
            </w:r>
          </w:p>
        </w:tc>
      </w:tr>
      <w:tr w:rsidR="005E2081" w:rsidRPr="004D53A0" w14:paraId="59AF0906" w14:textId="77777777" w:rsidTr="001B083E">
        <w:trPr>
          <w:trHeight w:val="825"/>
        </w:trPr>
        <w:tc>
          <w:tcPr>
            <w:tcW w:w="1858" w:type="dxa"/>
            <w:vMerge w:val="restart"/>
          </w:tcPr>
          <w:p w14:paraId="2DDDB153" w14:textId="79A94F8E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Çöp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Bidonu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 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Bulundurma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Zorunluluğu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ve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Çöp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Bidonu</w:t>
            </w:r>
            <w:proofErr w:type="spellEnd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 xml:space="preserve">   </w:t>
            </w:r>
            <w:proofErr w:type="spellStart"/>
            <w:r w:rsidRPr="004D53A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  <w:t>Şekli</w:t>
            </w:r>
            <w:proofErr w:type="spellEnd"/>
          </w:p>
        </w:tc>
        <w:tc>
          <w:tcPr>
            <w:tcW w:w="547" w:type="dxa"/>
            <w:vMerge w:val="restart"/>
          </w:tcPr>
          <w:p w14:paraId="2CE8993E" w14:textId="55B7BE5F" w:rsidR="005E2081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2081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E53D10E" w14:textId="32AFA53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796" w:type="dxa"/>
          </w:tcPr>
          <w:p w14:paraId="724B9C10" w14:textId="5C046F25" w:rsidR="005E2081" w:rsidRPr="004D53A0" w:rsidRDefault="005E2081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Belediye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hudutları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dahilinde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gayrimenkul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malın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sahibi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kiracısı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işgalcisi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gayrimenkul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malı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tasarrufunda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bulunduranlar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süprüntü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koymaya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elverişli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kapasitesi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120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litre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240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litre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660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litre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770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litre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1200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litre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hacmi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geçmeyen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plastikten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mamul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adet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taşıma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saplı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kapaklı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ihtiyaca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göre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daha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fazla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sayıda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bidonunu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bulundurmak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zorundadırlar</w:t>
            </w:r>
            <w:proofErr w:type="spellEnd"/>
            <w:r w:rsidRPr="004D53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E2081" w:rsidRPr="004D53A0" w14:paraId="37801E32" w14:textId="77777777" w:rsidTr="001B083E">
        <w:trPr>
          <w:trHeight w:val="588"/>
        </w:trPr>
        <w:tc>
          <w:tcPr>
            <w:tcW w:w="1858" w:type="dxa"/>
            <w:vMerge/>
          </w:tcPr>
          <w:p w14:paraId="13015EBB" w14:textId="77777777" w:rsidR="005E2081" w:rsidRPr="004D53A0" w:rsidRDefault="005E2081" w:rsidP="00F26C7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</w:p>
        </w:tc>
        <w:tc>
          <w:tcPr>
            <w:tcW w:w="547" w:type="dxa"/>
            <w:vMerge/>
          </w:tcPr>
          <w:p w14:paraId="369BE86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EA635" w14:textId="2B38EB4F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796" w:type="dxa"/>
          </w:tcPr>
          <w:p w14:paraId="162F814D" w14:textId="2096E5FF" w:rsidR="005E2081" w:rsidRPr="004D53A0" w:rsidRDefault="005E2081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Bütün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süprüntüler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ağzı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bağlı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naylon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torbalar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(1)’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inci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fıkrada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edilmelidir</w:t>
            </w:r>
            <w:proofErr w:type="spellEnd"/>
          </w:p>
        </w:tc>
      </w:tr>
      <w:tr w:rsidR="004D53A0" w:rsidRPr="004D53A0" w14:paraId="0945B161" w14:textId="77777777" w:rsidTr="001B083E">
        <w:trPr>
          <w:trHeight w:val="440"/>
        </w:trPr>
        <w:tc>
          <w:tcPr>
            <w:tcW w:w="1858" w:type="dxa"/>
          </w:tcPr>
          <w:p w14:paraId="0BE7F9F8" w14:textId="77777777" w:rsidR="004D53A0" w:rsidRPr="004D53A0" w:rsidRDefault="004D53A0" w:rsidP="00F26C7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AU"/>
                <w14:ligatures w14:val="none"/>
              </w:rPr>
            </w:pPr>
          </w:p>
        </w:tc>
        <w:tc>
          <w:tcPr>
            <w:tcW w:w="547" w:type="dxa"/>
          </w:tcPr>
          <w:p w14:paraId="5D6D55DD" w14:textId="77777777" w:rsidR="004D53A0" w:rsidRPr="004D53A0" w:rsidRDefault="004D53A0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4FA85EB2" w14:textId="77777777" w:rsidR="004D53A0" w:rsidRPr="004D53A0" w:rsidRDefault="004D53A0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81" w:rsidRPr="004D53A0" w14:paraId="52E8FBE3" w14:textId="77777777" w:rsidTr="001B083E">
        <w:tc>
          <w:tcPr>
            <w:tcW w:w="1858" w:type="dxa"/>
          </w:tcPr>
          <w:p w14:paraId="091698EA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FA04B8" w14:textId="41FD7882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Temiz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Tutulması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</w:tcPr>
          <w:p w14:paraId="5493E301" w14:textId="314C2885" w:rsidR="005E2081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2081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4878873D" w14:textId="1B168EFC" w:rsidR="005E2081" w:rsidRPr="004D53A0" w:rsidRDefault="005E2081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kullanan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şahıs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daima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temiz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sıhhi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tutulmalıdır</w:t>
            </w:r>
            <w:proofErr w:type="spellEnd"/>
            <w:r w:rsidR="00385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6D5B2AA6" w14:textId="77777777" w:rsidTr="001B083E">
        <w:tc>
          <w:tcPr>
            <w:tcW w:w="1858" w:type="dxa"/>
          </w:tcPr>
          <w:p w14:paraId="0BB40B37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51EE37F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5D0A408C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81" w:rsidRPr="004D53A0" w14:paraId="2B406E20" w14:textId="77777777" w:rsidTr="001B083E">
        <w:tc>
          <w:tcPr>
            <w:tcW w:w="1858" w:type="dxa"/>
          </w:tcPr>
          <w:p w14:paraId="5267E5C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Resmini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Ödeme</w:t>
            </w:r>
            <w:proofErr w:type="spellEnd"/>
          </w:p>
          <w:p w14:paraId="4F140D4E" w14:textId="76E66864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547" w:type="dxa"/>
          </w:tcPr>
          <w:p w14:paraId="4F4F3B02" w14:textId="1AF05558" w:rsidR="005E2081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2081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2D97951E" w14:textId="790885A6" w:rsidR="005E2081" w:rsidRPr="004D53A0" w:rsidRDefault="005E2081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Kiracı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sahibi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tasarrufunda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bulunduran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şahıslar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Resmini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ödemekle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mükellef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olup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Resmi 12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taksit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tahsil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23A34A78" w14:textId="77777777" w:rsidTr="001B083E">
        <w:trPr>
          <w:trHeight w:val="414"/>
        </w:trPr>
        <w:tc>
          <w:tcPr>
            <w:tcW w:w="1858" w:type="dxa"/>
          </w:tcPr>
          <w:p w14:paraId="494122D7" w14:textId="412A12C5" w:rsidR="00A1369B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Miktarı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Muafiyeti</w:t>
            </w:r>
            <w:proofErr w:type="spellEnd"/>
          </w:p>
        </w:tc>
        <w:tc>
          <w:tcPr>
            <w:tcW w:w="547" w:type="dxa"/>
          </w:tcPr>
          <w:p w14:paraId="62E27682" w14:textId="6CBEB780" w:rsidR="00A1369B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  <w:gridSpan w:val="2"/>
          </w:tcPr>
          <w:p w14:paraId="24E9425A" w14:textId="7BD53948" w:rsidR="00A1369B" w:rsidRPr="004D53A0" w:rsidRDefault="00C2597D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aşağıdaki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belirlenen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oranlarda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081" w:rsidRPr="004D53A0" w14:paraId="7DC4A99F" w14:textId="77777777" w:rsidTr="001B083E">
        <w:tc>
          <w:tcPr>
            <w:tcW w:w="1858" w:type="dxa"/>
          </w:tcPr>
          <w:p w14:paraId="26FEF27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DA923C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4723BE" w14:textId="1B7A1831" w:rsidR="005E2081" w:rsidRPr="004D53A0" w:rsidRDefault="00255E98" w:rsidP="00F2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796" w:type="dxa"/>
          </w:tcPr>
          <w:p w14:paraId="7CCDC9D3" w14:textId="78BD9A5C" w:rsidR="005E2081" w:rsidRPr="004D53A0" w:rsidRDefault="00C80D1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enerjisi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tüketim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bedelini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faturalandıran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işyeri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00C0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="00BD00C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BD00C0">
              <w:rPr>
                <w:rFonts w:ascii="Times New Roman" w:hAnsi="Times New Roman" w:cs="Times New Roman"/>
                <w:sz w:val="24"/>
                <w:szCs w:val="24"/>
              </w:rPr>
              <w:t xml:space="preserve"> Asgari </w:t>
            </w:r>
            <w:proofErr w:type="spellStart"/>
            <w:r w:rsidR="00BD00C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="00BD00C0">
              <w:rPr>
                <w:rFonts w:ascii="Times New Roman" w:hAnsi="Times New Roman" w:cs="Times New Roman"/>
                <w:sz w:val="24"/>
                <w:szCs w:val="24"/>
              </w:rPr>
              <w:t xml:space="preserve"> %0.6</w:t>
            </w:r>
            <w:r w:rsidR="00255E98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binde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altı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5E98"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255E98" w:rsidRPr="004D53A0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proofErr w:type="spellEnd"/>
          </w:p>
        </w:tc>
      </w:tr>
      <w:tr w:rsidR="005E2081" w:rsidRPr="004D53A0" w14:paraId="1F2A300E" w14:textId="77777777" w:rsidTr="001B083E">
        <w:trPr>
          <w:trHeight w:val="452"/>
        </w:trPr>
        <w:tc>
          <w:tcPr>
            <w:tcW w:w="1858" w:type="dxa"/>
          </w:tcPr>
          <w:p w14:paraId="7FAE307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88630A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D60AB" w14:textId="7E40A652" w:rsidR="005E2081" w:rsidRPr="004D53A0" w:rsidRDefault="00D543D3" w:rsidP="00F26C7F">
            <w:pPr>
              <w:ind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369B" w:rsidRPr="004D53A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796" w:type="dxa"/>
          </w:tcPr>
          <w:p w14:paraId="2F0648F8" w14:textId="58693A19" w:rsidR="005E2081" w:rsidRPr="004D53A0" w:rsidRDefault="00255E98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konuttan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%16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altı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</w:tr>
      <w:tr w:rsidR="005E2081" w:rsidRPr="004D53A0" w14:paraId="4AD2AFC8" w14:textId="77777777" w:rsidTr="001B083E">
        <w:trPr>
          <w:trHeight w:val="430"/>
        </w:trPr>
        <w:tc>
          <w:tcPr>
            <w:tcW w:w="1858" w:type="dxa"/>
          </w:tcPr>
          <w:p w14:paraId="535D9B1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914851F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62658" w14:textId="7E630CEC" w:rsidR="005E2081" w:rsidRPr="004D53A0" w:rsidRDefault="00255E98" w:rsidP="00F2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796" w:type="dxa"/>
          </w:tcPr>
          <w:p w14:paraId="3343CB15" w14:textId="1276071D" w:rsidR="005E2081" w:rsidRPr="004D53A0" w:rsidRDefault="00255E98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ofis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döviz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bürosundan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Asgari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41BD8C5A" w14:textId="77777777" w:rsidTr="001B083E">
        <w:trPr>
          <w:trHeight w:val="408"/>
        </w:trPr>
        <w:tc>
          <w:tcPr>
            <w:tcW w:w="1858" w:type="dxa"/>
          </w:tcPr>
          <w:p w14:paraId="2984CE51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6EBC8E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657BCC" w14:textId="6A0FEFA6" w:rsidR="005E2081" w:rsidRPr="004D53A0" w:rsidRDefault="00255E98" w:rsidP="00F2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7796" w:type="dxa"/>
          </w:tcPr>
          <w:p w14:paraId="7E87FB38" w14:textId="25F859F6" w:rsidR="005E2081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dükkân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mağazadan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Asgari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231B3932" w14:textId="77777777" w:rsidTr="001B083E">
        <w:tc>
          <w:tcPr>
            <w:tcW w:w="1858" w:type="dxa"/>
          </w:tcPr>
          <w:p w14:paraId="6C8E95D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516E88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A98EA3" w14:textId="130852C1" w:rsidR="005E2081" w:rsidRPr="004D53A0" w:rsidRDefault="00255E98" w:rsidP="00F2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7796" w:type="dxa"/>
          </w:tcPr>
          <w:p w14:paraId="5D24D9A8" w14:textId="77777777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BEE29D" w14:textId="1C528A55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0-100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20E5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Asgari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elli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5B08800B" w14:textId="4B9EE74C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101-200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20E5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Asgari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%80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seksen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0250C1F" w14:textId="1F28AA29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201-300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%120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yüzyirmi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584EF134" w14:textId="68179A46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301-400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%150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yüzelli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6788401D" w14:textId="62347384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401-500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ikiyüz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  <w:p w14:paraId="71108BC6" w14:textId="19717FBF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501-1000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ikiyüzelli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4AE3E028" w14:textId="4D6E5DC2" w:rsidR="005E2081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1001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yukarı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yurtlardan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üçyüz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0B7CC5C3" w14:textId="77777777" w:rsidTr="001B083E">
        <w:tc>
          <w:tcPr>
            <w:tcW w:w="1858" w:type="dxa"/>
          </w:tcPr>
          <w:p w14:paraId="1F18982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D90BCF3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B5718F" w14:textId="61C77D58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7796" w:type="dxa"/>
          </w:tcPr>
          <w:p w14:paraId="2F7215BE" w14:textId="77777777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Otellerden;</w:t>
            </w:r>
          </w:p>
          <w:p w14:paraId="46B8F9B5" w14:textId="122B51A2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0-25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%40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kırk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14:paraId="41506CDF" w14:textId="4FFAF780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26-50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elli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456D71DD" w14:textId="0B169BD5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51-100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  <w:p w14:paraId="12B616BC" w14:textId="703DC997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101-400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ikiyüz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  <w:p w14:paraId="6E92EFE7" w14:textId="34282A3D" w:rsidR="002C1C76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401-1000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beşyüz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  <w:proofErr w:type="spellEnd"/>
          </w:p>
          <w:p w14:paraId="04AD6809" w14:textId="3D84C5BF" w:rsidR="005E2081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1001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yukarı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otellerden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%700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yediyüz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1F166DE1" w14:textId="77777777" w:rsidTr="001B083E">
        <w:trPr>
          <w:trHeight w:val="422"/>
        </w:trPr>
        <w:tc>
          <w:tcPr>
            <w:tcW w:w="1858" w:type="dxa"/>
          </w:tcPr>
          <w:p w14:paraId="305D262F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08EA71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6C49FB" w14:textId="2B20CECA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796" w:type="dxa"/>
          </w:tcPr>
          <w:p w14:paraId="7BAC611C" w14:textId="16CA4F20" w:rsidR="005E2081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turistik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tesislerden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211A0C98" w14:textId="77777777" w:rsidTr="001B083E">
        <w:tc>
          <w:tcPr>
            <w:tcW w:w="1858" w:type="dxa"/>
          </w:tcPr>
          <w:p w14:paraId="7D5A7856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2C7724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24DEBC" w14:textId="29D22A75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7796" w:type="dxa"/>
          </w:tcPr>
          <w:p w14:paraId="0878E5F1" w14:textId="4D641048" w:rsidR="005E2081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muayenehanesinden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yataksız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yirmibeş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29664339" w14:textId="77777777" w:rsidTr="001B083E">
        <w:tc>
          <w:tcPr>
            <w:tcW w:w="1858" w:type="dxa"/>
          </w:tcPr>
          <w:p w14:paraId="04BB9E2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CADDD9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B65D2F" w14:textId="781D6B0F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7796" w:type="dxa"/>
          </w:tcPr>
          <w:p w14:paraId="251B750D" w14:textId="1558C381" w:rsidR="005E2081" w:rsidRPr="004D53A0" w:rsidRDefault="002C1C7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muayenehanesinden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yataklı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48D66CA6" w14:textId="77777777" w:rsidTr="001B083E">
        <w:tc>
          <w:tcPr>
            <w:tcW w:w="1858" w:type="dxa"/>
          </w:tcPr>
          <w:p w14:paraId="5CF33B03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A2BC17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214320" w14:textId="105AE714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7796" w:type="dxa"/>
          </w:tcPr>
          <w:p w14:paraId="7BAA218F" w14:textId="3443CAAE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muayenehanesi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dışında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kliniklerinden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fizyoterapist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diyetisyen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masaj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salonu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dövme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salonu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vb.) 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3E23B8E2" w14:textId="77777777" w:rsidTr="001B083E">
        <w:tc>
          <w:tcPr>
            <w:tcW w:w="1858" w:type="dxa"/>
          </w:tcPr>
          <w:p w14:paraId="55E059A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ADBBDA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8B74F1" w14:textId="43B9412E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7796" w:type="dxa"/>
          </w:tcPr>
          <w:p w14:paraId="0792F31C" w14:textId="77777777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hastanelerden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851E1D" w14:textId="51CBAC98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hastanelerden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%150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yüzelli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7B065CD1" w14:textId="74489993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yatağa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hastanelerden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beşyüz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69D4A1D0" w14:textId="77777777" w:rsidTr="001B083E">
        <w:tc>
          <w:tcPr>
            <w:tcW w:w="1858" w:type="dxa"/>
          </w:tcPr>
          <w:p w14:paraId="26E5602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8A7251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4CBF9" w14:textId="2C378A76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7796" w:type="dxa"/>
          </w:tcPr>
          <w:p w14:paraId="1E8F18B7" w14:textId="4330856D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Bakkal,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manav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market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off-licences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818BE0" w14:textId="3C3CABFE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küçük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bakkal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manav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market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off-licences</w:t>
            </w:r>
            <w:proofErr w:type="spellEnd"/>
            <w:r w:rsidR="009C20E5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0E5"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9C20E5"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6E364082" w14:textId="7E9EF494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101-300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bakkal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manav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market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off-licences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%35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otuzbeş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1C57F00E" w14:textId="3319D2A5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301- 500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bakkal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manav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market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off-licences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  <w:p w14:paraId="6113FA51" w14:textId="00B2C79B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501-1,000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bakkal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manav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market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off-licences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ikiyüz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  <w:p w14:paraId="5676DC00" w14:textId="3D04E339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1,001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bakkal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manav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market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off-licences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9F2357"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46CA88" w14:textId="4C8D4545" w:rsidR="005E2081" w:rsidRPr="004D53A0" w:rsidRDefault="00046D50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Aylık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17CE"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="009D17CE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17CE"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="009D17CE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%500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beşyüz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17CE"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18CA78A5" w14:textId="77777777" w:rsidTr="001B083E">
        <w:tc>
          <w:tcPr>
            <w:tcW w:w="1858" w:type="dxa"/>
          </w:tcPr>
          <w:p w14:paraId="776176D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1191C86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6E53C" w14:textId="6CD7A745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7796" w:type="dxa"/>
          </w:tcPr>
          <w:p w14:paraId="6B683BC9" w14:textId="33870BEA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berber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kuaför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salonu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güzellik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salonundan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072F2095" w14:textId="77777777" w:rsidTr="001B083E">
        <w:tc>
          <w:tcPr>
            <w:tcW w:w="1858" w:type="dxa"/>
          </w:tcPr>
          <w:p w14:paraId="29D574C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CECBECA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642650" w14:textId="05453B19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7796" w:type="dxa"/>
          </w:tcPr>
          <w:p w14:paraId="71AC29C7" w14:textId="77777777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içki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içilen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alkollü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restoran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bar,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meyhane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diskotek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4CBAC8E" w14:textId="1A839BB5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0-50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%35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44A7A7C4" w14:textId="6D05E69F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51-100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%45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kırkbeş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6EDBDE7F" w14:textId="714185D0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101-200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%60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altmış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’ı</w:t>
            </w:r>
          </w:p>
          <w:p w14:paraId="03F3953E" w14:textId="7FB2E33F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201-400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  <w:p w14:paraId="216051CE" w14:textId="0CCF64E6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üstü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%200</w:t>
            </w:r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ikiyüz</w:t>
            </w:r>
            <w:proofErr w:type="spellEnd"/>
            <w:r w:rsidR="00046D50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1DA5AADC" w14:textId="77777777" w:rsidTr="001B083E">
        <w:tc>
          <w:tcPr>
            <w:tcW w:w="1858" w:type="dxa"/>
          </w:tcPr>
          <w:p w14:paraId="3AD8734F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CCC680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BB4F9" w14:textId="5BA6D287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7796" w:type="dxa"/>
          </w:tcPr>
          <w:p w14:paraId="68BFB593" w14:textId="0384DEBF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Kasap,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tavuk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satıcıları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5E2081" w:rsidRPr="004D53A0" w14:paraId="19A9395F" w14:textId="77777777" w:rsidTr="001B083E">
        <w:tc>
          <w:tcPr>
            <w:tcW w:w="1858" w:type="dxa"/>
          </w:tcPr>
          <w:p w14:paraId="6777B366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62A3F65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B1083E" w14:textId="2B937D80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7796" w:type="dxa"/>
          </w:tcPr>
          <w:p w14:paraId="4DCF02BF" w14:textId="2CB1EE6C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Pastane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pasta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imalatı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ekmek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fırını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pide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lahmacun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hamur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satılan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3EAAF81C" w14:textId="77777777" w:rsidTr="001B083E">
        <w:trPr>
          <w:trHeight w:val="378"/>
        </w:trPr>
        <w:tc>
          <w:tcPr>
            <w:tcW w:w="1858" w:type="dxa"/>
          </w:tcPr>
          <w:p w14:paraId="2C5CEFC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4680B4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29123D" w14:textId="02A0552E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7796" w:type="dxa"/>
          </w:tcPr>
          <w:p w14:paraId="26845B30" w14:textId="1DF5B02D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Kahvehaneden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%16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onaltı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proofErr w:type="spellEnd"/>
          </w:p>
        </w:tc>
      </w:tr>
      <w:tr w:rsidR="005E2081" w:rsidRPr="004D53A0" w14:paraId="6BC0869C" w14:textId="77777777" w:rsidTr="001B083E">
        <w:tc>
          <w:tcPr>
            <w:tcW w:w="1858" w:type="dxa"/>
          </w:tcPr>
          <w:p w14:paraId="3513EC3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8594EF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E66E58" w14:textId="16DD7165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7796" w:type="dxa"/>
          </w:tcPr>
          <w:p w14:paraId="5DA912A6" w14:textId="77777777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İçki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ruhsatı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olmayan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restorandan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lokanta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kafe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büfe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kebap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D6124" w14:textId="502C5BF4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0-50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yirmibeş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5FC47F10" w14:textId="601672D0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51-100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%35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otuzbeş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104B729D" w14:textId="3DD4EF55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101-200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elli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  <w:p w14:paraId="3978B6CB" w14:textId="3235045F" w:rsidR="009D17CE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201-400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%80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seksen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5377641" w14:textId="5CC36186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üstü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%100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68EBA071" w14:textId="77777777" w:rsidTr="001B083E">
        <w:tc>
          <w:tcPr>
            <w:tcW w:w="1858" w:type="dxa"/>
          </w:tcPr>
          <w:p w14:paraId="4629D17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D54E4C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E351C4" w14:textId="4E326720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7796" w:type="dxa"/>
          </w:tcPr>
          <w:p w14:paraId="4CDA2C8B" w14:textId="5BC0DCC4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bankacılık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gören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kooperatif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bunların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şubesinden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%60</w:t>
            </w:r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altmış</w:t>
            </w:r>
            <w:proofErr w:type="spellEnd"/>
            <w:r w:rsidR="00C8733A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’ı</w:t>
            </w:r>
          </w:p>
        </w:tc>
      </w:tr>
      <w:tr w:rsidR="005E2081" w:rsidRPr="004D53A0" w14:paraId="4D90E579" w14:textId="77777777" w:rsidTr="001B083E">
        <w:tc>
          <w:tcPr>
            <w:tcW w:w="1858" w:type="dxa"/>
          </w:tcPr>
          <w:p w14:paraId="6DB08CA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911F1D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8E786A" w14:textId="3F38B724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7796" w:type="dxa"/>
          </w:tcPr>
          <w:p w14:paraId="3076831E" w14:textId="7FBCE44E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Bilişim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alanında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sağlayıcı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tamir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satış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2D268125" w14:textId="77777777" w:rsidTr="001B083E">
        <w:tc>
          <w:tcPr>
            <w:tcW w:w="1858" w:type="dxa"/>
          </w:tcPr>
          <w:p w14:paraId="45C02CF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88AB1B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A6E4D" w14:textId="6E4A9737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7796" w:type="dxa"/>
          </w:tcPr>
          <w:p w14:paraId="7BD1729A" w14:textId="1CCA847C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GSM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alanında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hat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operatörlerinden;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elli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00E65FA0" w14:textId="77777777" w:rsidTr="001B083E">
        <w:tc>
          <w:tcPr>
            <w:tcW w:w="1858" w:type="dxa"/>
          </w:tcPr>
          <w:p w14:paraId="4B363BF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AA86AF1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7E736D" w14:textId="65501DCE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7796" w:type="dxa"/>
          </w:tcPr>
          <w:p w14:paraId="2A1BA06E" w14:textId="4BC1F7E8" w:rsidR="005E2081" w:rsidRPr="004D53A0" w:rsidRDefault="009D17CE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Basın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medya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kuruluşlarından;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5BC34902" w14:textId="77777777" w:rsidTr="001B083E">
        <w:tc>
          <w:tcPr>
            <w:tcW w:w="1858" w:type="dxa"/>
          </w:tcPr>
          <w:p w14:paraId="631808F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C1CE8D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980B8A" w14:textId="36D3E0A5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7796" w:type="dxa"/>
          </w:tcPr>
          <w:p w14:paraId="6C1E26CC" w14:textId="1BAA52C4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matbaa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tabelacı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reklam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ajanslarından;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%70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yetmiş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317E6B0B" w14:textId="77777777" w:rsidTr="001B083E">
        <w:tc>
          <w:tcPr>
            <w:tcW w:w="1858" w:type="dxa"/>
          </w:tcPr>
          <w:p w14:paraId="1BF0B6D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CA33CE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F7D36C" w14:textId="44988CC6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7796" w:type="dxa"/>
          </w:tcPr>
          <w:p w14:paraId="1D647237" w14:textId="3CC0F7CB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fabrika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endüstriyel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kullanılan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%70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yetmiş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401683C7" w14:textId="77777777" w:rsidTr="001B083E">
        <w:tc>
          <w:tcPr>
            <w:tcW w:w="1858" w:type="dxa"/>
          </w:tcPr>
          <w:p w14:paraId="59EF471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B87D6A3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9F0690" w14:textId="3EBB9963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7796" w:type="dxa"/>
          </w:tcPr>
          <w:p w14:paraId="35420069" w14:textId="54C91B51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Tornacılık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demircilik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tenekecilik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kaynakçılık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boyacılık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alüminyum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ahşap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PVC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atölye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tamirhanelerden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2BD8EFA4" w14:textId="77777777" w:rsidTr="001B083E">
        <w:tc>
          <w:tcPr>
            <w:tcW w:w="1858" w:type="dxa"/>
          </w:tcPr>
          <w:p w14:paraId="4B43E076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606E37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6D7893" w14:textId="19837EDF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7796" w:type="dxa"/>
          </w:tcPr>
          <w:p w14:paraId="5151027A" w14:textId="7FB31DB0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Otomotiv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alanında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tamir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onarım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3AFCD80F" w14:textId="77777777" w:rsidTr="001B083E">
        <w:tc>
          <w:tcPr>
            <w:tcW w:w="1858" w:type="dxa"/>
          </w:tcPr>
          <w:p w14:paraId="01E682D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335C215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6E0E6" w14:textId="425EBF5F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7796" w:type="dxa"/>
          </w:tcPr>
          <w:p w14:paraId="4063428C" w14:textId="7918354A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malzemesi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satan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işyerlerinden;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3D2125F2" w14:textId="77777777" w:rsidTr="001B083E">
        <w:tc>
          <w:tcPr>
            <w:tcW w:w="1858" w:type="dxa"/>
          </w:tcPr>
          <w:p w14:paraId="39A95FD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1CF4E9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2283E" w14:textId="7CBE256F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7796" w:type="dxa"/>
          </w:tcPr>
          <w:p w14:paraId="7907D91D" w14:textId="6F88806A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Ayakkabı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imal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yerden;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47E56CAE" w14:textId="77777777" w:rsidTr="001B083E">
        <w:trPr>
          <w:trHeight w:val="346"/>
        </w:trPr>
        <w:tc>
          <w:tcPr>
            <w:tcW w:w="1858" w:type="dxa"/>
          </w:tcPr>
          <w:p w14:paraId="7AB253C9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6453B2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7A499" w14:textId="715E6EA3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7796" w:type="dxa"/>
          </w:tcPr>
          <w:p w14:paraId="48FA5D98" w14:textId="3F945CC8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ofislerden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%80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seksen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6072FDC4" w14:textId="77777777" w:rsidTr="001B083E">
        <w:tc>
          <w:tcPr>
            <w:tcW w:w="1858" w:type="dxa"/>
          </w:tcPr>
          <w:p w14:paraId="1898FF1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07F634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FBECB" w14:textId="0930C3DD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7796" w:type="dxa"/>
          </w:tcPr>
          <w:p w14:paraId="720FBA82" w14:textId="34392740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İnternet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kafelerden;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248FA31D" w14:textId="77777777" w:rsidTr="001B083E">
        <w:tc>
          <w:tcPr>
            <w:tcW w:w="1858" w:type="dxa"/>
          </w:tcPr>
          <w:p w14:paraId="0A9CFEC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3E6CC1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B8AA45" w14:textId="5A6449B7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(31)</w:t>
            </w:r>
          </w:p>
        </w:tc>
        <w:tc>
          <w:tcPr>
            <w:tcW w:w="7796" w:type="dxa"/>
          </w:tcPr>
          <w:p w14:paraId="082F95BA" w14:textId="344DD0DA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Uydu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kanalıyla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şifreli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kuruluşlardan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%40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kırk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’ı</w:t>
            </w:r>
          </w:p>
        </w:tc>
      </w:tr>
      <w:tr w:rsidR="005E2081" w:rsidRPr="004D53A0" w14:paraId="15B8701C" w14:textId="77777777" w:rsidTr="001B083E">
        <w:tc>
          <w:tcPr>
            <w:tcW w:w="1858" w:type="dxa"/>
          </w:tcPr>
          <w:p w14:paraId="14E59F5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81F8A2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6F848D" w14:textId="6C480438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7796" w:type="dxa"/>
          </w:tcPr>
          <w:p w14:paraId="7D03CC10" w14:textId="7362045E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arıtma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suyu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satış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istasyonu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kullanım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amaçlı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dolum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tesislerinden;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2755480E" w14:textId="77777777" w:rsidTr="001B083E">
        <w:tc>
          <w:tcPr>
            <w:tcW w:w="1858" w:type="dxa"/>
          </w:tcPr>
          <w:p w14:paraId="4161507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D59A2B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E2DFD2" w14:textId="2AFE59D7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7796" w:type="dxa"/>
          </w:tcPr>
          <w:p w14:paraId="02C3A9C9" w14:textId="6C0C423D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Gıda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imalathaneleri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üstü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ecza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antrepolar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toptan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gıda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gıda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ürünleri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satış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yirmibeş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4038BC1C" w14:textId="77777777" w:rsidTr="001B083E">
        <w:tc>
          <w:tcPr>
            <w:tcW w:w="1858" w:type="dxa"/>
          </w:tcPr>
          <w:p w14:paraId="7FAC6EE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5283E1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164F8" w14:textId="23266473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7796" w:type="dxa"/>
          </w:tcPr>
          <w:p w14:paraId="43E195B3" w14:textId="6D339CF3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salonlarından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7AAB9034" w14:textId="77777777" w:rsidTr="001B083E">
        <w:tc>
          <w:tcPr>
            <w:tcW w:w="1858" w:type="dxa"/>
          </w:tcPr>
          <w:p w14:paraId="0EAA9415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0FFAC17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7EDF95" w14:textId="59D9C701" w:rsidR="005E2081" w:rsidRPr="000F4F24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7796" w:type="dxa"/>
          </w:tcPr>
          <w:p w14:paraId="2B79CC9E" w14:textId="1361C9C2" w:rsidR="005E2081" w:rsidRPr="000F4F24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Benzin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istasyonlarından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E624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48DCF71E" w14:textId="77777777" w:rsidTr="001B083E">
        <w:tc>
          <w:tcPr>
            <w:tcW w:w="1858" w:type="dxa"/>
          </w:tcPr>
          <w:p w14:paraId="5CEF1B1A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BEF994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A8400" w14:textId="33A116E1" w:rsidR="005E2081" w:rsidRPr="000F4F24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7796" w:type="dxa"/>
          </w:tcPr>
          <w:p w14:paraId="11D8E52F" w14:textId="4E500A5C" w:rsidR="005E2081" w:rsidRPr="000F4F24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Oto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galeri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park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yerlerinden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%70</w:t>
            </w:r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yetmiş</w:t>
            </w:r>
            <w:proofErr w:type="spellEnd"/>
            <w:r w:rsidR="00194132" w:rsidRPr="000F4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0F4F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5E2081" w:rsidRPr="004D53A0" w14:paraId="172ADD5D" w14:textId="77777777" w:rsidTr="001B083E">
        <w:tc>
          <w:tcPr>
            <w:tcW w:w="1858" w:type="dxa"/>
          </w:tcPr>
          <w:p w14:paraId="727E960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D4EA7D0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FB5ADD" w14:textId="4EC0905E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7796" w:type="dxa"/>
          </w:tcPr>
          <w:p w14:paraId="4D88E0F4" w14:textId="165439DB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Oto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yıkama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214AC2A3" w14:textId="77777777" w:rsidTr="001B083E">
        <w:tc>
          <w:tcPr>
            <w:tcW w:w="1858" w:type="dxa"/>
          </w:tcPr>
          <w:p w14:paraId="63897F6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CE8B76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480FF" w14:textId="48CC3B02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7796" w:type="dxa"/>
          </w:tcPr>
          <w:p w14:paraId="76CFE9D7" w14:textId="79BEDDDA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Yat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işletmecilerinden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gezi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tekne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%50’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elli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0C033A90" w14:textId="77777777" w:rsidTr="001B083E">
        <w:tc>
          <w:tcPr>
            <w:tcW w:w="1858" w:type="dxa"/>
          </w:tcPr>
          <w:p w14:paraId="2D0E4351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73952B2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8C65AC" w14:textId="1D0C2E50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(39)</w:t>
            </w:r>
          </w:p>
        </w:tc>
        <w:tc>
          <w:tcPr>
            <w:tcW w:w="7796" w:type="dxa"/>
          </w:tcPr>
          <w:p w14:paraId="0D262918" w14:textId="657CF82F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Liman,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limanı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işletmecilerinden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üçyüz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463CBF5D" w14:textId="77777777" w:rsidTr="001B083E">
        <w:tc>
          <w:tcPr>
            <w:tcW w:w="1858" w:type="dxa"/>
          </w:tcPr>
          <w:p w14:paraId="4BD439A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7B5679C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CD2F93" w14:textId="1333054B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(40)</w:t>
            </w:r>
          </w:p>
        </w:tc>
        <w:tc>
          <w:tcPr>
            <w:tcW w:w="7796" w:type="dxa"/>
          </w:tcPr>
          <w:p w14:paraId="75548344" w14:textId="2A6BE32C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Gece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Kulüplerinden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%150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yüzelli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5A190A30" w14:textId="77777777" w:rsidTr="001B083E">
        <w:tc>
          <w:tcPr>
            <w:tcW w:w="1858" w:type="dxa"/>
          </w:tcPr>
          <w:p w14:paraId="7582171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ABCE2B1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C2387" w14:textId="1411D540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7796" w:type="dxa"/>
          </w:tcPr>
          <w:p w14:paraId="5B51543A" w14:textId="1E689D01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küçük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kapalı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ticari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amaçlı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ambardan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%40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kırk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’ı</w:t>
            </w:r>
          </w:p>
        </w:tc>
      </w:tr>
      <w:tr w:rsidR="005E2081" w:rsidRPr="004D53A0" w14:paraId="1AB3CD61" w14:textId="77777777" w:rsidTr="001B083E">
        <w:tc>
          <w:tcPr>
            <w:tcW w:w="1858" w:type="dxa"/>
          </w:tcPr>
          <w:p w14:paraId="1FD148B1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ADE6C91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9D0B6" w14:textId="10FD726C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(42)</w:t>
            </w:r>
          </w:p>
        </w:tc>
        <w:tc>
          <w:tcPr>
            <w:tcW w:w="7796" w:type="dxa"/>
          </w:tcPr>
          <w:p w14:paraId="01F7CE59" w14:textId="4AF99815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metrekareden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büyük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kapalı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ticari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amaçlı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ambardan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%60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altmış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’ı</w:t>
            </w:r>
          </w:p>
        </w:tc>
      </w:tr>
      <w:tr w:rsidR="005E2081" w:rsidRPr="004D53A0" w14:paraId="35BEFAA3" w14:textId="77777777" w:rsidTr="001B083E">
        <w:tc>
          <w:tcPr>
            <w:tcW w:w="1858" w:type="dxa"/>
          </w:tcPr>
          <w:p w14:paraId="40AD92DF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DE8554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C329D5" w14:textId="14458DFA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(43)</w:t>
            </w:r>
          </w:p>
        </w:tc>
        <w:tc>
          <w:tcPr>
            <w:tcW w:w="7796" w:type="dxa"/>
          </w:tcPr>
          <w:p w14:paraId="70CF3933" w14:textId="77777777" w:rsidR="00BF4329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Kamuya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idarede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çalışan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sayısına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D25562" w14:textId="5FE44A91" w:rsidR="00BF4329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0-10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kişiye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%21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1822742F" w14:textId="5E88E405" w:rsidR="00BF4329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11-25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kişiye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%25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7CCFF1E8" w14:textId="5734C8BA" w:rsidR="00BF4329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26-50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kişiye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%45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kırk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351D07BF" w14:textId="6BB5828F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yukarısı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443539E5" w14:textId="77777777" w:rsidTr="001B083E">
        <w:tc>
          <w:tcPr>
            <w:tcW w:w="1858" w:type="dxa"/>
          </w:tcPr>
          <w:p w14:paraId="4F0DD924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150089A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740E4" w14:textId="1C2B0A8A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(44)</w:t>
            </w:r>
          </w:p>
        </w:tc>
        <w:tc>
          <w:tcPr>
            <w:tcW w:w="7796" w:type="dxa"/>
          </w:tcPr>
          <w:p w14:paraId="5666E392" w14:textId="0371A3D0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okullardan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%100</w:t>
            </w:r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194132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7C8B8815" w14:textId="77777777" w:rsidTr="001B083E">
        <w:tc>
          <w:tcPr>
            <w:tcW w:w="1858" w:type="dxa"/>
          </w:tcPr>
          <w:p w14:paraId="224450FA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1E34C6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FDF81" w14:textId="24ACD2F5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(45)</w:t>
            </w:r>
          </w:p>
        </w:tc>
        <w:tc>
          <w:tcPr>
            <w:tcW w:w="7796" w:type="dxa"/>
          </w:tcPr>
          <w:p w14:paraId="77F7E7FB" w14:textId="0033578B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Etüd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merkezlerinden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%30</w:t>
            </w:r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otuz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’u</w:t>
            </w:r>
          </w:p>
        </w:tc>
      </w:tr>
      <w:tr w:rsidR="005E2081" w:rsidRPr="004D53A0" w14:paraId="16D2D99D" w14:textId="77777777" w:rsidTr="001B083E">
        <w:tc>
          <w:tcPr>
            <w:tcW w:w="1858" w:type="dxa"/>
          </w:tcPr>
          <w:p w14:paraId="41893AD8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8A35579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20E508" w14:textId="1F91E70E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(46)</w:t>
            </w:r>
          </w:p>
        </w:tc>
        <w:tc>
          <w:tcPr>
            <w:tcW w:w="7796" w:type="dxa"/>
          </w:tcPr>
          <w:p w14:paraId="3D12D71A" w14:textId="40244600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Kreş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merkezlerinden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%20</w:t>
            </w:r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yirmi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</w:p>
        </w:tc>
      </w:tr>
      <w:tr w:rsidR="005E2081" w:rsidRPr="004D53A0" w14:paraId="6FC7211C" w14:textId="77777777" w:rsidTr="001B083E">
        <w:tc>
          <w:tcPr>
            <w:tcW w:w="1858" w:type="dxa"/>
          </w:tcPr>
          <w:p w14:paraId="7A2B22DF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3E5BEE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138CCD" w14:textId="147E9F48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(47)</w:t>
            </w:r>
          </w:p>
        </w:tc>
        <w:tc>
          <w:tcPr>
            <w:tcW w:w="7796" w:type="dxa"/>
          </w:tcPr>
          <w:p w14:paraId="7FDA2B96" w14:textId="53A0F42C" w:rsidR="005E2081" w:rsidRPr="004D53A0" w:rsidRDefault="00BF4329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mezbahalardan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sgari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%100</w:t>
            </w:r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="00663BBD" w:rsidRPr="004D53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’ü</w:t>
            </w:r>
          </w:p>
        </w:tc>
      </w:tr>
      <w:tr w:rsidR="005E2081" w:rsidRPr="004D53A0" w14:paraId="4A79FDD0" w14:textId="77777777" w:rsidTr="001B083E">
        <w:tc>
          <w:tcPr>
            <w:tcW w:w="1858" w:type="dxa"/>
          </w:tcPr>
          <w:p w14:paraId="721966A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384DDAD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5D23F" w14:textId="237F5A96" w:rsidR="005E2081" w:rsidRPr="004D53A0" w:rsidRDefault="00255E98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</w:p>
        </w:tc>
        <w:tc>
          <w:tcPr>
            <w:tcW w:w="7796" w:type="dxa"/>
          </w:tcPr>
          <w:p w14:paraId="2B39262B" w14:textId="6AD1BA3B" w:rsidR="005E2081" w:rsidRPr="004D53A0" w:rsidRDefault="009840B0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dışında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işyerleri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Meclisinin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alacağı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kararla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oluşturacağı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listede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Asgari </w:t>
            </w:r>
            <w:proofErr w:type="spellStart"/>
            <w:r w:rsidR="00CD5533">
              <w:rPr>
                <w:rFonts w:ascii="Times New Roman" w:hAnsi="Times New Roman" w:cs="Times New Roman"/>
                <w:sz w:val="24"/>
                <w:szCs w:val="24"/>
              </w:rPr>
              <w:t>ücretin</w:t>
            </w:r>
            <w:proofErr w:type="spellEnd"/>
            <w:r w:rsidR="00CD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C4A">
              <w:rPr>
                <w:rFonts w:ascii="Times New Roman" w:hAnsi="Times New Roman" w:cs="Times New Roman"/>
                <w:sz w:val="24"/>
                <w:szCs w:val="24"/>
              </w:rPr>
              <w:t>%2 (</w:t>
            </w:r>
            <w:proofErr w:type="spellStart"/>
            <w:r w:rsidR="003B6C4A">
              <w:rPr>
                <w:rFonts w:ascii="Times New Roman" w:hAnsi="Times New Roman" w:cs="Times New Roman"/>
                <w:sz w:val="24"/>
                <w:szCs w:val="24"/>
              </w:rPr>
              <w:t>yüzde</w:t>
            </w:r>
            <w:proofErr w:type="spellEnd"/>
            <w:r w:rsidR="003B6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C4A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="003B6C4A">
              <w:rPr>
                <w:rFonts w:ascii="Times New Roman" w:hAnsi="Times New Roman" w:cs="Times New Roman"/>
                <w:sz w:val="24"/>
                <w:szCs w:val="24"/>
              </w:rPr>
              <w:t>)’</w:t>
            </w:r>
            <w:proofErr w:type="spellStart"/>
            <w:r w:rsidR="003B6C4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2(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Asgari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ücret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işyeri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tipine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belirleyeceği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oranda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işyeri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C479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32571">
              <w:rPr>
                <w:rFonts w:ascii="Times New Roman" w:hAnsi="Times New Roman" w:cs="Times New Roman"/>
                <w:sz w:val="24"/>
                <w:szCs w:val="24"/>
              </w:rPr>
              <w:t>lundurma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harcı</w:t>
            </w:r>
            <w:proofErr w:type="spellEnd"/>
            <w:r w:rsidR="00C3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2571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="00B26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2081" w:rsidRPr="004D53A0" w14:paraId="31572767" w14:textId="77777777" w:rsidTr="001B083E">
        <w:tc>
          <w:tcPr>
            <w:tcW w:w="1858" w:type="dxa"/>
          </w:tcPr>
          <w:p w14:paraId="716AF8CE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FD7E55B" w14:textId="77777777" w:rsidR="005E2081" w:rsidRPr="004D53A0" w:rsidRDefault="005E2081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A6C02" w14:textId="2F0A08D4" w:rsidR="005E2081" w:rsidRPr="004D53A0" w:rsidRDefault="00255E98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(49)</w:t>
            </w:r>
          </w:p>
        </w:tc>
        <w:tc>
          <w:tcPr>
            <w:tcW w:w="7796" w:type="dxa"/>
          </w:tcPr>
          <w:p w14:paraId="0886AAE7" w14:textId="13C93499" w:rsidR="005E2081" w:rsidRPr="004D53A0" w:rsidRDefault="00BF4329" w:rsidP="00F26C7F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işyerlerinde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meslek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ayrı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ayrı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="00C6341A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626CB67A" w14:textId="77777777" w:rsidTr="001B083E">
        <w:tc>
          <w:tcPr>
            <w:tcW w:w="1858" w:type="dxa"/>
          </w:tcPr>
          <w:p w14:paraId="5C871546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547FBCA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35AA8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109DCE9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02007053" w14:textId="77777777" w:rsidTr="001B083E">
        <w:tc>
          <w:tcPr>
            <w:tcW w:w="1858" w:type="dxa"/>
          </w:tcPr>
          <w:p w14:paraId="38DF3258" w14:textId="4C0227CB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Miktarı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Muafiyet</w:t>
            </w:r>
            <w:proofErr w:type="spellEnd"/>
          </w:p>
        </w:tc>
        <w:tc>
          <w:tcPr>
            <w:tcW w:w="547" w:type="dxa"/>
          </w:tcPr>
          <w:p w14:paraId="659B306F" w14:textId="28423246" w:rsidR="004A2E16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2E16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0D9E03B2" w14:textId="36F8CCB0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Meclisi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alacağı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kararla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Dairesi’nden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aldığını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Dairesinden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engelli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maaşı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almakta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cemile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yardımı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aldığını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kanıtlayan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kişileri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Resminden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tutulur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0CD7CCCC" w14:textId="77777777" w:rsidTr="001B083E">
        <w:trPr>
          <w:trHeight w:val="418"/>
        </w:trPr>
        <w:tc>
          <w:tcPr>
            <w:tcW w:w="1858" w:type="dxa"/>
          </w:tcPr>
          <w:p w14:paraId="35D87553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C19BA35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120960EB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43BD3D74" w14:textId="77777777" w:rsidTr="001B083E">
        <w:tc>
          <w:tcPr>
            <w:tcW w:w="1858" w:type="dxa"/>
          </w:tcPr>
          <w:p w14:paraId="62010084" w14:textId="3746890F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Bidonlarının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Toplanması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Muhafazası</w:t>
            </w:r>
            <w:proofErr w:type="spellEnd"/>
          </w:p>
        </w:tc>
        <w:tc>
          <w:tcPr>
            <w:tcW w:w="547" w:type="dxa"/>
          </w:tcPr>
          <w:p w14:paraId="5B7DB9C5" w14:textId="2E45D4F2" w:rsidR="004A2E16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2E16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281B9775" w14:textId="77777777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boşaltılmak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üzere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Başkanı’nın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zaman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zaman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belirleyeceği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saatlerde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yere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bırakılacaktır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toplama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gününden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dışarıya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çıkarılmayacak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boşaltıldıktan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dükkân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edilecektir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4D145" w14:textId="77777777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A0" w:rsidRPr="004D53A0" w14:paraId="0A0C1240" w14:textId="77777777" w:rsidTr="001B083E">
        <w:tc>
          <w:tcPr>
            <w:tcW w:w="1858" w:type="dxa"/>
          </w:tcPr>
          <w:p w14:paraId="00D447DA" w14:textId="77777777" w:rsidR="004D53A0" w:rsidRPr="004D53A0" w:rsidRDefault="004D53A0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AD53369" w14:textId="77777777" w:rsidR="004D53A0" w:rsidRPr="004D53A0" w:rsidRDefault="004D53A0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10222C59" w14:textId="77777777" w:rsidR="004D53A0" w:rsidRPr="004D53A0" w:rsidRDefault="004D53A0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601BD193" w14:textId="77777777" w:rsidTr="001B083E">
        <w:tc>
          <w:tcPr>
            <w:tcW w:w="1858" w:type="dxa"/>
          </w:tcPr>
          <w:p w14:paraId="03155CFE" w14:textId="15244644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Çöplerin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İmhası</w:t>
            </w:r>
            <w:proofErr w:type="spellEnd"/>
          </w:p>
        </w:tc>
        <w:tc>
          <w:tcPr>
            <w:tcW w:w="547" w:type="dxa"/>
          </w:tcPr>
          <w:p w14:paraId="659D1D9D" w14:textId="104C895A" w:rsidR="004A2E16" w:rsidRPr="004D53A0" w:rsidRDefault="00C2597D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2E16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4C2FC816" w14:textId="331F2CFD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Toplanan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Belediyece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görülen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biriktirilir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Toplanan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idaresi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belirlenen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depolanarak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imha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53A0" w:rsidRPr="004D53A0" w14:paraId="23FA587D" w14:textId="77777777" w:rsidTr="001B083E">
        <w:tc>
          <w:tcPr>
            <w:tcW w:w="1858" w:type="dxa"/>
          </w:tcPr>
          <w:p w14:paraId="0026FD1A" w14:textId="77777777" w:rsidR="004D53A0" w:rsidRPr="004D53A0" w:rsidRDefault="004D53A0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2C87BD9" w14:textId="77777777" w:rsidR="004D53A0" w:rsidRPr="004D53A0" w:rsidRDefault="004D53A0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104436E3" w14:textId="77777777" w:rsidR="004D53A0" w:rsidRPr="004D53A0" w:rsidRDefault="004D53A0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402E3BD6" w14:textId="77777777" w:rsidTr="001B083E">
        <w:trPr>
          <w:trHeight w:val="490"/>
        </w:trPr>
        <w:tc>
          <w:tcPr>
            <w:tcW w:w="1858" w:type="dxa"/>
            <w:vMerge w:val="restart"/>
          </w:tcPr>
          <w:p w14:paraId="76D8B043" w14:textId="77777777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0505EB" w14:textId="76E7E92D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Arsaların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Temizletilme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Yükümlülüğü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vMerge w:val="restart"/>
          </w:tcPr>
          <w:p w14:paraId="4CC0C690" w14:textId="5921BF9B" w:rsidR="004A2E16" w:rsidRPr="004D53A0" w:rsidRDefault="00976ACC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E16"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A8E5303" w14:textId="282C4CF9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796" w:type="dxa"/>
          </w:tcPr>
          <w:p w14:paraId="6113659E" w14:textId="36C00972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Mal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sahibi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kiracı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tasarrufunda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bulundurulan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şahıslar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bulundurdukları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inşaat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artıklarını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kaldırmakla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yükümlüdür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E16" w:rsidRPr="004D53A0" w14:paraId="22DE3533" w14:textId="77777777" w:rsidTr="001B083E">
        <w:trPr>
          <w:trHeight w:val="490"/>
        </w:trPr>
        <w:tc>
          <w:tcPr>
            <w:tcW w:w="1858" w:type="dxa"/>
            <w:vMerge/>
          </w:tcPr>
          <w:p w14:paraId="3015527F" w14:textId="77777777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14:paraId="3D0A9965" w14:textId="77777777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AB8790" w14:textId="2F9DC360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796" w:type="dxa"/>
          </w:tcPr>
          <w:p w14:paraId="017C9148" w14:textId="493AF1EB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Beldenin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görünümünü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etkileyen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güzelliğini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bozan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başka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içindeki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döküntü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birikinti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arsa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sahibi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kiracısı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tasarrufunda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bulunduran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şahıslar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temizletilir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E16" w:rsidRPr="004D53A0" w14:paraId="4BE620F8" w14:textId="77777777" w:rsidTr="001B083E">
        <w:trPr>
          <w:trHeight w:val="490"/>
        </w:trPr>
        <w:tc>
          <w:tcPr>
            <w:tcW w:w="1858" w:type="dxa"/>
            <w:vMerge/>
          </w:tcPr>
          <w:p w14:paraId="41ABA84A" w14:textId="77777777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</w:tcPr>
          <w:p w14:paraId="7163FE27" w14:textId="77777777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A0978" w14:textId="5FD131B9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796" w:type="dxa"/>
          </w:tcPr>
          <w:p w14:paraId="15E9F845" w14:textId="020B2098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Belediyece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saptanan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moloz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dökme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dışında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yere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dökülemez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atılamaz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.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(1)’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inci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(2)’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nci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fıkralarda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inşaat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artıklarını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birikintilerini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kaldırmak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zorunda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değildir.Böyle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zorunluluğun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doğması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kaçınılmaz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olması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halinde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temizleme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kaldırma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işlemleri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Belediyece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işlerin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karşılığı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miktarı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mükelleflerden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39F2DF50" w14:textId="77777777" w:rsidTr="001B083E">
        <w:trPr>
          <w:trHeight w:val="408"/>
        </w:trPr>
        <w:tc>
          <w:tcPr>
            <w:tcW w:w="1858" w:type="dxa"/>
          </w:tcPr>
          <w:p w14:paraId="22145A4E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1D9276D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A1FD9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F34717F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1E0B4303" w14:textId="77777777" w:rsidTr="001B083E">
        <w:tc>
          <w:tcPr>
            <w:tcW w:w="1858" w:type="dxa"/>
          </w:tcPr>
          <w:p w14:paraId="1CD2CA0C" w14:textId="7167611C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Yasaklar</w:t>
            </w:r>
            <w:proofErr w:type="spellEnd"/>
          </w:p>
        </w:tc>
        <w:tc>
          <w:tcPr>
            <w:tcW w:w="547" w:type="dxa"/>
          </w:tcPr>
          <w:p w14:paraId="5D9DF2EB" w14:textId="3AE6A49D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49E62AF8" w14:textId="14053ED3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sınırları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yere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kâğıt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artık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şeyler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atılamaz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tükürülemez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kirletilemez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beldenin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kirletilmesine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rıza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gösterilemez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kurallarına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aykırı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hareket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edenler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Belediyeler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Yasası’nın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122’nci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uyarınca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1E0BE227" w14:textId="77777777" w:rsidTr="001B083E">
        <w:trPr>
          <w:trHeight w:val="380"/>
        </w:trPr>
        <w:tc>
          <w:tcPr>
            <w:tcW w:w="1858" w:type="dxa"/>
          </w:tcPr>
          <w:p w14:paraId="27B7CE2F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16D9E71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756425D2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7EC6E03E" w14:textId="77777777" w:rsidTr="001B083E">
        <w:tc>
          <w:tcPr>
            <w:tcW w:w="1858" w:type="dxa"/>
          </w:tcPr>
          <w:p w14:paraId="0B39FFB4" w14:textId="54EC6B84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Hurda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Araçlar</w:t>
            </w:r>
            <w:proofErr w:type="spellEnd"/>
          </w:p>
        </w:tc>
        <w:tc>
          <w:tcPr>
            <w:tcW w:w="547" w:type="dxa"/>
          </w:tcPr>
          <w:p w14:paraId="4B135DA7" w14:textId="3CFBA7A3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39334410" w14:textId="06C3D8EF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Hiçbir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kimse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sınırları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belediyeye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kamusal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herhangi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motorlu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motorsuz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parçaları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hurda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bulunduramaz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hilafına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hurda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bulundurulması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halinde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söz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araçlar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belediyece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kaldırılır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Belediye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Başkanının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talimatı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uyarınca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maksatla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tahsis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taşınır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doğacak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masrafları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kişilerden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74’üncü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kurallar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yaptırımlar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uygulanır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E16" w:rsidRPr="004D53A0" w14:paraId="1D4C8263" w14:textId="77777777" w:rsidTr="001B083E">
        <w:tc>
          <w:tcPr>
            <w:tcW w:w="1858" w:type="dxa"/>
          </w:tcPr>
          <w:p w14:paraId="0D51992A" w14:textId="011E1934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İşyerlerinin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vb.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Atık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Maddelerinin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Muhafazası</w:t>
            </w:r>
            <w:proofErr w:type="spellEnd"/>
          </w:p>
        </w:tc>
        <w:tc>
          <w:tcPr>
            <w:tcW w:w="547" w:type="dxa"/>
          </w:tcPr>
          <w:p w14:paraId="0E6DA6FE" w14:textId="455B10E1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29E3A563" w14:textId="2FC2FE42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İşyerleri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özellikle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market,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ecza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deposu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kasap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bunlara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benzer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işyerleri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süprüntü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atıklarını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bidonlarından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ayrı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belirleyeceği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yine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belirleyeceği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şekil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boyutta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depolama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yaratılmalıdır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Depolama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belediyenin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belirleyeceği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proofErr w:type="spellEnd"/>
          </w:p>
        </w:tc>
      </w:tr>
      <w:tr w:rsidR="00A1369B" w:rsidRPr="004D53A0" w14:paraId="6CF87DEB" w14:textId="77777777" w:rsidTr="001B083E">
        <w:tc>
          <w:tcPr>
            <w:tcW w:w="1858" w:type="dxa"/>
          </w:tcPr>
          <w:p w14:paraId="22EDC47A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6974B4C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45306752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E16" w:rsidRPr="004D53A0" w14:paraId="27FCE791" w14:textId="77777777" w:rsidTr="001B083E">
        <w:tc>
          <w:tcPr>
            <w:tcW w:w="1858" w:type="dxa"/>
          </w:tcPr>
          <w:p w14:paraId="69CB2D45" w14:textId="2154D4D1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Apartmanlarda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Bulunması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Depoları</w:t>
            </w:r>
            <w:proofErr w:type="spellEnd"/>
          </w:p>
        </w:tc>
        <w:tc>
          <w:tcPr>
            <w:tcW w:w="547" w:type="dxa"/>
          </w:tcPr>
          <w:p w14:paraId="3294AB53" w14:textId="028A4BF6" w:rsidR="004A2E16" w:rsidRPr="004D53A0" w:rsidRDefault="004A2E16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41099744" w14:textId="5F635D49" w:rsidR="004A2E16" w:rsidRPr="004D53A0" w:rsidRDefault="004A2E16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apartman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sahibi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apartmanda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çöplerin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edilmesi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deposu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yapacak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çöplerin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kapalı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yerlerde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muhafazasını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temin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zorunda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olacaktır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9B" w:rsidRPr="004D53A0" w14:paraId="7D9630AA" w14:textId="77777777" w:rsidTr="001B083E">
        <w:trPr>
          <w:trHeight w:val="322"/>
        </w:trPr>
        <w:tc>
          <w:tcPr>
            <w:tcW w:w="1858" w:type="dxa"/>
          </w:tcPr>
          <w:p w14:paraId="7D6E55BE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CDC4420" w14:textId="77777777" w:rsidR="00A1369B" w:rsidRPr="004D53A0" w:rsidRDefault="00A1369B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14:paraId="792E3AE4" w14:textId="77777777" w:rsidR="00A1369B" w:rsidRPr="004D53A0" w:rsidRDefault="00A1369B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E5" w:rsidRPr="004D53A0" w14:paraId="5C0BC571" w14:textId="77777777" w:rsidTr="001B083E">
        <w:tc>
          <w:tcPr>
            <w:tcW w:w="1858" w:type="dxa"/>
          </w:tcPr>
          <w:p w14:paraId="4A640E82" w14:textId="339646E9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Yürürlükten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8D6DFC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Kaldırma</w:t>
            </w:r>
            <w:proofErr w:type="spellEnd"/>
          </w:p>
          <w:p w14:paraId="7BC157CD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  <w:p w14:paraId="43524C08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R.G.143</w:t>
            </w:r>
          </w:p>
          <w:p w14:paraId="473BB2C9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EKIII</w:t>
            </w:r>
          </w:p>
          <w:p w14:paraId="5846A7BA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A.E.641</w:t>
            </w:r>
          </w:p>
          <w:p w14:paraId="299D7B30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  <w:p w14:paraId="198BBA81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R.G.50</w:t>
            </w:r>
          </w:p>
          <w:p w14:paraId="207EA714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EKIII</w:t>
            </w:r>
          </w:p>
          <w:p w14:paraId="35DC774B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A.E.265</w:t>
            </w:r>
          </w:p>
          <w:p w14:paraId="65D94798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03.08.2007</w:t>
            </w:r>
          </w:p>
          <w:p w14:paraId="5B9C79C5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R.G.140</w:t>
            </w:r>
          </w:p>
          <w:p w14:paraId="1CF85575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EKIII</w:t>
            </w:r>
          </w:p>
          <w:p w14:paraId="7DF329A4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A.E.545</w:t>
            </w:r>
          </w:p>
          <w:p w14:paraId="749164FF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  <w:p w14:paraId="08DC848C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R.G.50</w:t>
            </w:r>
          </w:p>
          <w:p w14:paraId="0ED5B6B8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EKIII</w:t>
            </w:r>
          </w:p>
          <w:p w14:paraId="37CF6BBD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A.E.264</w:t>
            </w:r>
          </w:p>
          <w:p w14:paraId="2B6502A9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C9F1" w14:textId="77777777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52E6143" w14:textId="63D02B29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0A683D7E" w14:textId="029D4B2A" w:rsidR="009C20E5" w:rsidRPr="004D53A0" w:rsidRDefault="009C20E5" w:rsidP="00F26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yürürlüğe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girdiği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tarihten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başlayarak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Lefke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Belediyesi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Şehir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Aydınlatma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Tüzüğü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Resmi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Tüzüğü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bugüne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yapılmış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işlem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uygulamalar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geçerli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kaydıyla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yürürlükten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kaldırılır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0E5" w:rsidRPr="004D53A0" w14:paraId="41387E9F" w14:textId="77777777" w:rsidTr="001B083E">
        <w:tc>
          <w:tcPr>
            <w:tcW w:w="1858" w:type="dxa"/>
          </w:tcPr>
          <w:p w14:paraId="1AEEC7E1" w14:textId="770894B1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Yürürlüğe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proofErr w:type="spellEnd"/>
          </w:p>
        </w:tc>
        <w:tc>
          <w:tcPr>
            <w:tcW w:w="547" w:type="dxa"/>
          </w:tcPr>
          <w:p w14:paraId="574806E8" w14:textId="6761168B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14:paraId="7D18F33E" w14:textId="500B0E56" w:rsidR="009C20E5" w:rsidRPr="004D53A0" w:rsidRDefault="009C20E5" w:rsidP="00F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Tüzük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Resmî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yayımlandığı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tarihten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itibaren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yür</w:t>
            </w:r>
            <w:r w:rsidR="00BF01DE" w:rsidRPr="004D53A0">
              <w:rPr>
                <w:rFonts w:ascii="Times New Roman" w:hAnsi="Times New Roman" w:cs="Times New Roman"/>
                <w:sz w:val="24"/>
                <w:szCs w:val="24"/>
              </w:rPr>
              <w:t>ürlüğe</w:t>
            </w:r>
            <w:proofErr w:type="spellEnd"/>
            <w:r w:rsidR="00BF01DE" w:rsidRPr="004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girer</w:t>
            </w:r>
            <w:proofErr w:type="spellEnd"/>
            <w:r w:rsidRPr="004D5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282639" w14:textId="77777777" w:rsidR="005E2081" w:rsidRPr="00501F1B" w:rsidRDefault="005E2081" w:rsidP="00F26C7F">
      <w:pPr>
        <w:rPr>
          <w:rFonts w:ascii="Verdana" w:hAnsi="Verdana"/>
        </w:rPr>
      </w:pPr>
    </w:p>
    <w:sectPr w:rsidR="005E2081" w:rsidRPr="00501F1B" w:rsidSect="00BF01DE">
      <w:pgSz w:w="12240" w:h="15840"/>
      <w:pgMar w:top="720" w:right="61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81"/>
    <w:rsid w:val="00046D50"/>
    <w:rsid w:val="000541AB"/>
    <w:rsid w:val="00060754"/>
    <w:rsid w:val="000D35E4"/>
    <w:rsid w:val="000F4F24"/>
    <w:rsid w:val="00114592"/>
    <w:rsid w:val="00137B90"/>
    <w:rsid w:val="00194132"/>
    <w:rsid w:val="001B083E"/>
    <w:rsid w:val="00255E98"/>
    <w:rsid w:val="00283B91"/>
    <w:rsid w:val="002C1C76"/>
    <w:rsid w:val="002D2E7C"/>
    <w:rsid w:val="003471C9"/>
    <w:rsid w:val="00353213"/>
    <w:rsid w:val="00385D75"/>
    <w:rsid w:val="003B6C4A"/>
    <w:rsid w:val="00425D1D"/>
    <w:rsid w:val="00457197"/>
    <w:rsid w:val="004A2E16"/>
    <w:rsid w:val="004D53A0"/>
    <w:rsid w:val="00501F1B"/>
    <w:rsid w:val="005E2081"/>
    <w:rsid w:val="00663BBD"/>
    <w:rsid w:val="00675589"/>
    <w:rsid w:val="0070357F"/>
    <w:rsid w:val="00755E26"/>
    <w:rsid w:val="007C619E"/>
    <w:rsid w:val="008111FA"/>
    <w:rsid w:val="008932F0"/>
    <w:rsid w:val="0092587C"/>
    <w:rsid w:val="00976ACC"/>
    <w:rsid w:val="00977D1E"/>
    <w:rsid w:val="009840B0"/>
    <w:rsid w:val="009C20E5"/>
    <w:rsid w:val="009D17CE"/>
    <w:rsid w:val="009F2357"/>
    <w:rsid w:val="009F732D"/>
    <w:rsid w:val="00A03F4F"/>
    <w:rsid w:val="00A1369B"/>
    <w:rsid w:val="00B2635E"/>
    <w:rsid w:val="00BD00C0"/>
    <w:rsid w:val="00BF01DE"/>
    <w:rsid w:val="00BF4329"/>
    <w:rsid w:val="00C2597D"/>
    <w:rsid w:val="00C32571"/>
    <w:rsid w:val="00C6341A"/>
    <w:rsid w:val="00C80D1B"/>
    <w:rsid w:val="00C84429"/>
    <w:rsid w:val="00C8733A"/>
    <w:rsid w:val="00CC4799"/>
    <w:rsid w:val="00CD5533"/>
    <w:rsid w:val="00D543D3"/>
    <w:rsid w:val="00D96353"/>
    <w:rsid w:val="00DB1C51"/>
    <w:rsid w:val="00E05B9B"/>
    <w:rsid w:val="00E6240A"/>
    <w:rsid w:val="00E76CDA"/>
    <w:rsid w:val="00E877FC"/>
    <w:rsid w:val="00E9637D"/>
    <w:rsid w:val="00EA6F17"/>
    <w:rsid w:val="00F144B6"/>
    <w:rsid w:val="00F2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F6B6F"/>
  <w15:chartTrackingRefBased/>
  <w15:docId w15:val="{803EAAF8-9891-499D-9509-63B2657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6A08-32D9-4EB6-9665-4DDE3AD2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giray</dc:creator>
  <cp:keywords/>
  <dc:description/>
  <cp:lastModifiedBy>haluk giray</cp:lastModifiedBy>
  <cp:revision>25</cp:revision>
  <cp:lastPrinted>2023-06-01T07:14:00Z</cp:lastPrinted>
  <dcterms:created xsi:type="dcterms:W3CDTF">2023-07-04T08:53:00Z</dcterms:created>
  <dcterms:modified xsi:type="dcterms:W3CDTF">2023-10-13T05:44:00Z</dcterms:modified>
</cp:coreProperties>
</file>